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240" w:lineRule="auto"/>
        <w:jc w:val="right"/>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polgármester</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 Polgármesteri Hivatal</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cím: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email: ………………………………….</w:t>
      </w:r>
    </w:p>
    <w:p w:rsidR="00000000" w:rsidDel="00000000" w:rsidP="00000000" w:rsidRDefault="00000000" w:rsidRPr="00000000" w14:paraId="00000007">
      <w:pPr>
        <w:jc w:val="right"/>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Tárgy: Vízügy </w:t>
      </w:r>
    </w:p>
    <w:p w:rsidR="00000000" w:rsidDel="00000000" w:rsidP="00000000" w:rsidRDefault="00000000" w:rsidRPr="00000000" w14:paraId="00000008">
      <w:pPr>
        <w:widowControl w:val="0"/>
        <w:spacing w:after="1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Tisztelt Polgármester!</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Alulírott …………………………………………. </w:t>
      </w:r>
      <w:r w:rsidDel="00000000" w:rsidR="00000000" w:rsidRPr="00000000">
        <w:rPr>
          <w:rFonts w:ascii="Calibri" w:cs="Calibri" w:eastAsia="Calibri" w:hAnsi="Calibri"/>
          <w:color w:val="bfbfbf"/>
          <w:highlight w:val="white"/>
          <w:rtl w:val="0"/>
        </w:rPr>
        <w:t xml:space="preserve">(név), </w:t>
      </w:r>
      <w:r w:rsidDel="00000000" w:rsidR="00000000" w:rsidRPr="00000000">
        <w:rPr>
          <w:rFonts w:ascii="Calibri" w:cs="Calibri" w:eastAsia="Calibri" w:hAnsi="Calibri"/>
          <w:highlight w:val="white"/>
          <w:rtl w:val="0"/>
        </w:rPr>
        <w:t xml:space="preserve">mint ………………………………………… </w:t>
      </w:r>
      <w:r w:rsidDel="00000000" w:rsidR="00000000" w:rsidRPr="00000000">
        <w:rPr>
          <w:rFonts w:ascii="Calibri" w:cs="Calibri" w:eastAsia="Calibri" w:hAnsi="Calibri"/>
          <w:color w:val="bfbfbf"/>
          <w:highlight w:val="white"/>
          <w:rtl w:val="0"/>
        </w:rPr>
        <w:t xml:space="preserve">(a település lakosa/ civil szervezet munkatársa/ civil aktivista) </w:t>
      </w:r>
      <w:r w:rsidDel="00000000" w:rsidR="00000000" w:rsidRPr="00000000">
        <w:rPr>
          <w:rFonts w:ascii="Calibri" w:cs="Calibri" w:eastAsia="Calibri" w:hAnsi="Calibri"/>
          <w:highlight w:val="white"/>
          <w:rtl w:val="0"/>
        </w:rPr>
        <w:t xml:space="preserve">azzal a kéréssel fordulok Önhöz, hogy tegye lehetővé a településen a jogszabályok szerint, az egészséges ivóvízhez való hozzáférést. Ugyanis ………………………………………………………………………………..………………………………….. </w:t>
      </w:r>
      <w:r w:rsidDel="00000000" w:rsidR="00000000" w:rsidRPr="00000000">
        <w:rPr>
          <w:rFonts w:ascii="Calibri" w:cs="Calibri" w:eastAsia="Calibri" w:hAnsi="Calibri"/>
          <w:color w:val="bfbfbf"/>
          <w:highlight w:val="white"/>
          <w:rtl w:val="0"/>
        </w:rPr>
        <w:t xml:space="preserve">(név, cím)</w:t>
      </w:r>
      <w:r w:rsidDel="00000000" w:rsidR="00000000" w:rsidRPr="00000000">
        <w:rPr>
          <w:rFonts w:ascii="Calibri" w:cs="Calibri" w:eastAsia="Calibri" w:hAnsi="Calibri"/>
          <w:highlight w:val="white"/>
          <w:rtl w:val="0"/>
        </w:rPr>
        <w:t xml:space="preserve"> háztartásában nincs ivóvíz, így számára közkútról kell ivóvizet biztosítani. </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A nemzetközi és hazai jogszabályok értelmében a helyi önkormányzat ellátja a törvényben meghatározott kötelező és az általa önként vállalt feladat- és hatásköröket (Magyarország helyi önkormányzatairól szóló 2011. évi CLXXXIX. törvény, a továbbiakban Mötv. 10 § (1)). A helyi közügyek, valamint a helyben biztosítható közfeladatok körében ellátandó helyi önkormányzati feladatok különösen: víziközmű-szolgáltatás, amennyiben a</w:t>
      </w:r>
      <w:r w:rsidDel="00000000" w:rsidR="00000000" w:rsidRPr="00000000">
        <w:rPr>
          <w:rFonts w:ascii="Calibri" w:cs="Calibri" w:eastAsia="Calibri" w:hAnsi="Calibri"/>
          <w:rtl w:val="0"/>
        </w:rPr>
        <w:t xml:space="preserve"> víziközmű-szolgáltatásról szóló 2011. évi CCIX. törvény</w:t>
      </w:r>
      <w:r w:rsidDel="00000000" w:rsidR="00000000" w:rsidRPr="00000000">
        <w:rPr>
          <w:rFonts w:ascii="Calibri" w:cs="Calibri" w:eastAsia="Calibri" w:hAnsi="Calibri"/>
          <w:rtl w:val="0"/>
        </w:rPr>
        <w:t xml:space="preserve"> (a továbbiakban: Vkszt.) rendelkezései szerint a helyi önkormányzat ellátásért felelősnek minősül (Mötv. 13 § (1)).</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A Vkszt. értelmében lakossági felhasználóval szemben a víziközmű-szolgáltató által végrehajtott közüzemi ivóvíz-szolgáltatás felfüggesztése esetében a létfenntartási és közegészségügyi vízigények egyidejű biztosításáról a Vksztv. 58. § (10) bekezdésében meghatározott módon és mértékben gondoskodni kell . </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A Vkszt. 58. § (10) értelmében a közegészségügyi követelmények teljesítéséhez szükséges ivóvízellátás akkor biztosított, ha az ivóvízellátás legalább 20 l/fő/nap mennyiségben a lakóhelytől számított legfeljebb 300 méter, közterületen megteendő távolságon belül elérhető.</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A Vízgazdálkodásról szóló 1995. évi LVII. törvény 4 § (2) a) értelmében pedig a települési önkormányzat - a vízgazdálkodási tevékenységek, mint közfeladatok (közszolgáltatások) körében – köteles gondoskodni a település nem közműves ivóvízellátásáról. </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rPr>
      </w:pPr>
      <w:r w:rsidDel="00000000" w:rsidR="00000000" w:rsidRPr="00000000">
        <w:rPr>
          <w:rFonts w:ascii="Calibri" w:cs="Calibri" w:eastAsia="Calibri" w:hAnsi="Calibri"/>
          <w:b w:val="1"/>
          <w:rtl w:val="0"/>
        </w:rPr>
        <w:t xml:space="preserve">A fenti jogszabályok együttes értelmezéséből egyértelműen levonható az a következtetés, hogy a települési önkormányzatnak az érintett, vezetékes ivóvízzel el nem látott ingatlanoktól legfeljebb 300 méterre elhelyezett közkikút fenntartásával az ivóvíz ellátásról gondoskodnia kell akkor is, ha tartozás miatt került felfüggesztésre egy háztartás vezetékes ivóvíz szolgáltatása.</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Az Alapvető Jogok Biztosának álláspontja szerint: "Az ivóvízhez való jog, mint az emberi élet egyik alapfeltétele csak úgy biztosítható, ha az állam intézményes garanciát vállal arra, hogy mindenki minimum a létfenntartási és közegészségügyi követelményeknek megfelelő mennyiségben, minőségben, akadálymentesen, mindenféle megkülönböztetés nélkül, a lehető legtöbb információ birtokában férhessen hozzá. ... előírja, hogy „biztosítani kell az egyenlő mértékű hozzájutást a vízhez, mind mennyiségben, mind minőségben a népesség minden egyes tagja számára, de különösen azok számára, akik hátrányos helyzetben vannak vagy társadalmilag kirekesztettek”</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Fentiek alapján kérem, hogy a településen nem működő közkutakat, különösen a ……………………… utcában lévő közkutakat haladéktalanul üzembe helyezni szíveskedjen! Kérem, hogy a megtett intézkedésekről tájékoztatni szíveskedjen. </w:t>
      </w:r>
    </w:p>
    <w:p w:rsidR="00000000" w:rsidDel="00000000" w:rsidP="00000000" w:rsidRDefault="00000000" w:rsidRPr="00000000" w14:paraId="00000019">
      <w:pPr>
        <w:rPr>
          <w:rFonts w:ascii="Calibri" w:cs="Calibri" w:eastAsia="Calibri" w:hAnsi="Calibri"/>
          <w:shd w:fill="ededed" w:val="clear"/>
        </w:rPr>
      </w:pPr>
      <w:r w:rsidDel="00000000" w:rsidR="00000000" w:rsidRPr="00000000">
        <w:rPr>
          <w:rtl w:val="0"/>
        </w:rPr>
      </w:r>
    </w:p>
    <w:p w:rsidR="00000000" w:rsidDel="00000000" w:rsidP="00000000" w:rsidRDefault="00000000" w:rsidRPr="00000000" w14:paraId="0000001A">
      <w:pPr>
        <w:widowControl w:val="0"/>
        <w:spacing w:after="160" w:line="240" w:lineRule="auto"/>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Kelt: …………………………………………..</w:t>
      </w:r>
    </w:p>
    <w:p w:rsidR="00000000" w:rsidDel="00000000" w:rsidP="00000000" w:rsidRDefault="00000000" w:rsidRPr="00000000" w14:paraId="0000001B">
      <w:pPr>
        <w:spacing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ind w:left="1440" w:firstLine="0"/>
        <w:jc w:val="both"/>
        <w:rPr>
          <w:rFonts w:ascii="Calibri" w:cs="Calibri" w:eastAsia="Calibri" w:hAnsi="Calibri"/>
        </w:rPr>
      </w:pPr>
      <w:r w:rsidDel="00000000" w:rsidR="00000000" w:rsidRPr="00000000">
        <w:rPr>
          <w:rFonts w:ascii="Calibri" w:cs="Calibri" w:eastAsia="Calibri" w:hAnsi="Calibri"/>
          <w:rtl w:val="0"/>
        </w:rPr>
        <w:t xml:space="preserve">Együttműködésében bízva, tisztelettel:</w:t>
      </w:r>
    </w:p>
    <w:p w:rsidR="00000000" w:rsidDel="00000000" w:rsidP="00000000" w:rsidRDefault="00000000" w:rsidRPr="00000000" w14:paraId="0000001D">
      <w:pPr>
        <w:spacing w:line="240" w:lineRule="auto"/>
        <w:ind w:left="504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ind w:left="504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40"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line="240" w:lineRule="auto"/>
        <w:jc w:val="center"/>
        <w:rPr>
          <w:rFonts w:ascii="Calibri" w:cs="Calibri" w:eastAsia="Calibri" w:hAnsi="Calibri"/>
        </w:rPr>
      </w:pP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color w:val="bfbfbf"/>
          <w:rtl w:val="0"/>
        </w:rPr>
        <w:tab/>
        <w:t xml:space="preserve">(név)</w:t>
      </w:r>
      <w:r w:rsidDel="00000000" w:rsidR="00000000" w:rsidRPr="00000000">
        <w:rPr>
          <w:rtl w:val="0"/>
        </w:rPr>
      </w:r>
    </w:p>
    <w:p w:rsidR="00000000" w:rsidDel="00000000" w:rsidP="00000000" w:rsidRDefault="00000000" w:rsidRPr="00000000" w14:paraId="00000021">
      <w:pPr>
        <w:spacing w:line="240" w:lineRule="auto"/>
        <w:jc w:val="center"/>
        <w:rPr>
          <w:rFonts w:ascii="Calibri" w:cs="Calibri" w:eastAsia="Calibri" w:hAnsi="Calibri"/>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right" w:pos="8280"/>
      </w:tabs>
      <w:spacing w:line="240" w:lineRule="auto"/>
      <w:ind w:left="-993" w:firstLine="0"/>
      <w:rPr/>
    </w:pPr>
    <w:r w:rsidDel="00000000" w:rsidR="00000000" w:rsidRPr="00000000">
      <w:rPr>
        <w:rFonts w:ascii="Times New Roman" w:cs="Times New Roman" w:eastAsia="Times New Roman" w:hAnsi="Times New Roman"/>
        <w:sz w:val="20"/>
        <w:szCs w:val="20"/>
      </w:rPr>
      <w:drawing>
        <wp:inline distB="0" distT="0" distL="114300" distR="114300">
          <wp:extent cx="5315210" cy="528638"/>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15210" cy="528638"/>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Ld. az AJB-5527/2013. sz. jelentést az ózdi vízelzárásról, megtalálható itt: </w:t>
      </w:r>
      <w:hyperlink r:id="rId1">
        <w:r w:rsidDel="00000000" w:rsidR="00000000" w:rsidRPr="00000000">
          <w:rPr>
            <w:rFonts w:ascii="Calibri" w:cs="Calibri" w:eastAsia="Calibri" w:hAnsi="Calibri"/>
            <w:sz w:val="18"/>
            <w:szCs w:val="18"/>
            <w:rtl w:val="0"/>
          </w:rPr>
          <w:t xml:space="preserve">http://www.ajbh.hu/documents/10180/111959/201305527.pdf</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right" w:pos="8280"/>
      </w:tabs>
      <w:spacing w:before="454" w:line="240" w:lineRule="auto"/>
      <w:ind w:left="-993" w:firstLine="0"/>
      <w:rPr/>
    </w:pPr>
    <w:r w:rsidDel="00000000" w:rsidR="00000000" w:rsidRPr="00000000">
      <w:rPr>
        <w:rFonts w:ascii="Times New Roman" w:cs="Times New Roman" w:eastAsia="Times New Roman" w:hAnsi="Times New Roman"/>
        <w:sz w:val="20"/>
        <w:szCs w:val="20"/>
      </w:rPr>
      <w:drawing>
        <wp:inline distB="0" distT="0" distL="114300" distR="114300">
          <wp:extent cx="5262563" cy="1627302"/>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262563" cy="162730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 w:default="1">
    <w:name w:val="Normal"/>
  </w:style>
  <w:style w:type="paragraph" w:styleId="Cmsor1">
    <w:name w:val="heading 1"/>
    <w:basedOn w:val="Norml"/>
    <w:next w:val="Norml"/>
    <w:pPr>
      <w:keepNext w:val="1"/>
      <w:keepLines w:val="1"/>
      <w:spacing w:after="120" w:before="400"/>
      <w:outlineLvl w:val="0"/>
    </w:pPr>
    <w:rPr>
      <w:sz w:val="40"/>
      <w:szCs w:val="40"/>
    </w:rPr>
  </w:style>
  <w:style w:type="paragraph" w:styleId="Cmsor2">
    <w:name w:val="heading 2"/>
    <w:basedOn w:val="Norml"/>
    <w:next w:val="Norml"/>
    <w:pPr>
      <w:keepNext w:val="1"/>
      <w:keepLines w:val="1"/>
      <w:spacing w:after="120" w:before="360"/>
      <w:outlineLvl w:val="1"/>
    </w:pPr>
    <w:rPr>
      <w:sz w:val="32"/>
      <w:szCs w:val="32"/>
    </w:rPr>
  </w:style>
  <w:style w:type="paragraph" w:styleId="Cmsor3">
    <w:name w:val="heading 3"/>
    <w:basedOn w:val="Norml"/>
    <w:next w:val="Norml"/>
    <w:pPr>
      <w:keepNext w:val="1"/>
      <w:keepLines w:val="1"/>
      <w:spacing w:after="80" w:before="320"/>
      <w:outlineLvl w:val="2"/>
    </w:pPr>
    <w:rPr>
      <w:color w:val="434343"/>
      <w:sz w:val="28"/>
      <w:szCs w:val="28"/>
    </w:rPr>
  </w:style>
  <w:style w:type="paragraph" w:styleId="Cmsor4">
    <w:name w:val="heading 4"/>
    <w:basedOn w:val="Norml"/>
    <w:next w:val="Norml"/>
    <w:pPr>
      <w:keepNext w:val="1"/>
      <w:keepLines w:val="1"/>
      <w:spacing w:after="80" w:before="280"/>
      <w:outlineLvl w:val="3"/>
    </w:pPr>
    <w:rPr>
      <w:color w:val="666666"/>
      <w:sz w:val="24"/>
      <w:szCs w:val="24"/>
    </w:rPr>
  </w:style>
  <w:style w:type="paragraph" w:styleId="Cmsor5">
    <w:name w:val="heading 5"/>
    <w:basedOn w:val="Norml"/>
    <w:next w:val="Norml"/>
    <w:pPr>
      <w:keepNext w:val="1"/>
      <w:keepLines w:val="1"/>
      <w:spacing w:after="80" w:before="240"/>
      <w:outlineLvl w:val="4"/>
    </w:pPr>
    <w:rPr>
      <w:color w:val="666666"/>
    </w:rPr>
  </w:style>
  <w:style w:type="paragraph" w:styleId="Cmsor6">
    <w:name w:val="heading 6"/>
    <w:basedOn w:val="Norml"/>
    <w:next w:val="Norml"/>
    <w:pPr>
      <w:keepNext w:val="1"/>
      <w:keepLines w:val="1"/>
      <w:spacing w:after="80" w:before="240"/>
      <w:outlineLvl w:val="5"/>
    </w:pPr>
    <w:rPr>
      <w:i w:val="1"/>
      <w:color w:val="666666"/>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Cm">
    <w:name w:val="Title"/>
    <w:basedOn w:val="Norml"/>
    <w:next w:val="Norml"/>
    <w:pPr>
      <w:keepNext w:val="1"/>
      <w:keepLines w:val="1"/>
      <w:spacing w:after="60"/>
    </w:pPr>
    <w:rPr>
      <w:sz w:val="52"/>
      <w:szCs w:val="52"/>
    </w:rPr>
  </w:style>
  <w:style w:type="paragraph" w:styleId="Alcm">
    <w:name w:val="Subtitle"/>
    <w:basedOn w:val="Norml"/>
    <w:next w:val="Norml"/>
    <w:pPr>
      <w:keepNext w:val="1"/>
      <w:keepLines w:val="1"/>
      <w:spacing w:after="320"/>
    </w:pPr>
    <w:rPr>
      <w:color w:val="666666"/>
      <w:sz w:val="30"/>
      <w:szCs w:val="30"/>
    </w:rPr>
  </w:style>
  <w:style w:type="paragraph" w:styleId="Buborkszveg">
    <w:name w:val="Balloon Text"/>
    <w:basedOn w:val="Norml"/>
    <w:link w:val="BuborkszvegChar"/>
    <w:uiPriority w:val="99"/>
    <w:semiHidden w:val="1"/>
    <w:unhideWhenUsed w:val="1"/>
    <w:rsid w:val="00F9247F"/>
    <w:pPr>
      <w:spacing w:line="240" w:lineRule="auto"/>
    </w:pPr>
    <w:rPr>
      <w:rFonts w:ascii="Tahoma" w:cs="Tahoma" w:hAnsi="Tahoma"/>
      <w:sz w:val="16"/>
      <w:szCs w:val="16"/>
    </w:rPr>
  </w:style>
  <w:style w:type="character" w:styleId="BuborkszvegChar" w:customStyle="1">
    <w:name w:val="Buborékszöveg Char"/>
    <w:basedOn w:val="Bekezdsalapbettpusa"/>
    <w:link w:val="Buborkszveg"/>
    <w:uiPriority w:val="99"/>
    <w:semiHidden w:val="1"/>
    <w:rsid w:val="00F9247F"/>
    <w:rPr>
      <w:rFonts w:ascii="Tahoma" w:cs="Tahoma" w:hAnsi="Tahoma"/>
      <w:sz w:val="16"/>
      <w:szCs w:val="16"/>
    </w:rPr>
  </w:style>
  <w:style w:type="paragraph" w:styleId="Lbjegyzetszveg">
    <w:name w:val="footnote text"/>
    <w:basedOn w:val="Norml"/>
    <w:link w:val="LbjegyzetszvegChar"/>
    <w:uiPriority w:val="99"/>
    <w:semiHidden w:val="1"/>
    <w:unhideWhenUsed w:val="1"/>
    <w:rsid w:val="00E874E9"/>
    <w:pPr>
      <w:spacing w:line="240" w:lineRule="auto"/>
    </w:pPr>
    <w:rPr>
      <w:sz w:val="20"/>
      <w:szCs w:val="20"/>
    </w:rPr>
  </w:style>
  <w:style w:type="character" w:styleId="LbjegyzetszvegChar" w:customStyle="1">
    <w:name w:val="Lábjegyzetszöveg Char"/>
    <w:basedOn w:val="Bekezdsalapbettpusa"/>
    <w:link w:val="Lbjegyzetszveg"/>
    <w:uiPriority w:val="99"/>
    <w:semiHidden w:val="1"/>
    <w:rsid w:val="00E874E9"/>
    <w:rPr>
      <w:sz w:val="20"/>
      <w:szCs w:val="20"/>
    </w:rPr>
  </w:style>
  <w:style w:type="character" w:styleId="Lbjegyzet-hivatkozs">
    <w:name w:val="footnote reference"/>
    <w:basedOn w:val="Bekezdsalapbettpusa"/>
    <w:uiPriority w:val="99"/>
    <w:semiHidden w:val="1"/>
    <w:unhideWhenUsed w:val="1"/>
    <w:rsid w:val="00E874E9"/>
    <w:rPr>
      <w:vertAlign w:val="superscript"/>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ajbh.hu/documents/10180/111959/20130552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hXWPeMAdKmkZ9egM3cQrZRAOw==">AMUW2mU3HYPuIBVkxTLey0gWN9mDwUYiC7B9dKnW12pNXM5iOGc8THxOIHTib+XdGhf/MbkZzxQJBgjXlp5aT8LBiBWjfDnkDMEWCV1xNBwkBkraz2XjUeNelF6M+K/sBd0BlrU3HLeA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2020-06-12T11:49:00Z</dcterms:created>
  <dc:creator>ilona</dc:creator>
</cp:coreProperties>
</file>