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48149" w14:textId="75222975" w:rsidR="00F31B6D" w:rsidRPr="00F31B6D" w:rsidRDefault="005F4E7D" w:rsidP="00F31B6D">
      <w:pPr>
        <w:jc w:val="center"/>
        <w:rPr>
          <w:b/>
        </w:rPr>
      </w:pPr>
      <w:r>
        <w:rPr>
          <w:b/>
        </w:rPr>
        <w:t>S</w:t>
      </w:r>
      <w:r w:rsidR="00F31B6D" w:rsidRPr="00F31B6D">
        <w:rPr>
          <w:b/>
        </w:rPr>
        <w:t>ajtóanyag</w:t>
      </w:r>
    </w:p>
    <w:p w14:paraId="2B24814B" w14:textId="77777777" w:rsidR="00F31B6D" w:rsidRDefault="00F31B6D"/>
    <w:p w14:paraId="2B24814C" w14:textId="77777777" w:rsidR="00304D46" w:rsidRPr="00304D46" w:rsidRDefault="00304D46" w:rsidP="00F31B6D">
      <w:pPr>
        <w:spacing w:after="120" w:line="360" w:lineRule="auto"/>
        <w:ind w:firstLine="708"/>
        <w:jc w:val="both"/>
        <w:rPr>
          <w:rFonts w:eastAsia="MS Mincho"/>
        </w:rPr>
      </w:pPr>
      <w:r>
        <w:t>Régóta m</w:t>
      </w:r>
      <w:r w:rsidRPr="00304D46">
        <w:rPr>
          <w:rFonts w:eastAsia="MS Mincho"/>
        </w:rPr>
        <w:t>egoldandó problém</w:t>
      </w:r>
      <w:r>
        <w:t>a</w:t>
      </w:r>
      <w:r w:rsidRPr="00304D46">
        <w:rPr>
          <w:rFonts w:eastAsia="MS Mincho"/>
        </w:rPr>
        <w:t xml:space="preserve"> </w:t>
      </w:r>
      <w:r>
        <w:t xml:space="preserve">a bölcsészképzésben </w:t>
      </w:r>
      <w:r w:rsidRPr="00304D46">
        <w:rPr>
          <w:rFonts w:eastAsia="MS Mincho"/>
        </w:rPr>
        <w:t>a PhD hallgatók számára egyre nehezebben megszerezhető tudományszervezési és különösen oktatói kreditek kérdés</w:t>
      </w:r>
      <w:r>
        <w:t>e. Ugyanis – mind a felsőoktatás pénzügyi keretei miatt, mind az oktatók kötelező és vállalt óraterhelése miatt – a doktoranduszok és a fiatal kutatók számára</w:t>
      </w:r>
      <w:r w:rsidRPr="00304D46">
        <w:rPr>
          <w:rFonts w:eastAsia="MS Mincho"/>
        </w:rPr>
        <w:t xml:space="preserve"> </w:t>
      </w:r>
      <w:r>
        <w:t>ritkán adódik lehetőség arra, hogy órákat tudjanak tartani. Az ELTE BTK hallgatóiként o</w:t>
      </w:r>
      <w:r w:rsidRPr="00304D46">
        <w:rPr>
          <w:rFonts w:eastAsia="MS Mincho"/>
        </w:rPr>
        <w:t>lyan megoldást keres</w:t>
      </w:r>
      <w:r>
        <w:t>t</w:t>
      </w:r>
      <w:r w:rsidRPr="00304D46">
        <w:rPr>
          <w:rFonts w:eastAsia="MS Mincho"/>
        </w:rPr>
        <w:t xml:space="preserve">ünk, </w:t>
      </w:r>
      <w:r>
        <w:t>a</w:t>
      </w:r>
      <w:r w:rsidRPr="00304D46">
        <w:rPr>
          <w:rFonts w:eastAsia="MS Mincho"/>
        </w:rPr>
        <w:t>mely kevéssé veszi igénybe a túlterhelt kari költségvetést</w:t>
      </w:r>
      <w:r>
        <w:t xml:space="preserve"> és mégis kiaknázza a fiatal tehetségek nyújtotta lehetőségeket</w:t>
      </w:r>
      <w:r w:rsidRPr="00304D46">
        <w:rPr>
          <w:rFonts w:eastAsia="MS Mincho"/>
        </w:rPr>
        <w:t xml:space="preserve">. </w:t>
      </w:r>
      <w:r w:rsidR="00436BF1">
        <w:rPr>
          <w:rFonts w:eastAsia="MS Mincho"/>
        </w:rPr>
        <w:t xml:space="preserve">Először az </w:t>
      </w:r>
      <w:r w:rsidRPr="00304D46">
        <w:rPr>
          <w:rFonts w:eastAsia="MS Mincho"/>
        </w:rPr>
        <w:t xml:space="preserve">Irodalomtudományi Doktori Iskolával való együttműködés során körvonalazódott </w:t>
      </w:r>
      <w:r>
        <w:t>–</w:t>
      </w:r>
      <w:r w:rsidR="00436BF1">
        <w:t xml:space="preserve"> </w:t>
      </w:r>
      <w:r>
        <w:t>201</w:t>
      </w:r>
      <w:r w:rsidR="007D7CA0">
        <w:t>2</w:t>
      </w:r>
      <w:r>
        <w:t xml:space="preserve">-ben – </w:t>
      </w:r>
      <w:r w:rsidRPr="00304D46">
        <w:rPr>
          <w:rFonts w:eastAsia="MS Mincho"/>
        </w:rPr>
        <w:t>egy</w:t>
      </w:r>
      <w:r>
        <w:t xml:space="preserve"> </w:t>
      </w:r>
      <w:r w:rsidRPr="00304D46">
        <w:rPr>
          <w:rFonts w:eastAsia="MS Mincho"/>
        </w:rPr>
        <w:t>olyan kari „</w:t>
      </w:r>
      <w:r>
        <w:t xml:space="preserve">nyitott </w:t>
      </w:r>
      <w:r w:rsidRPr="00304D46">
        <w:rPr>
          <w:rFonts w:eastAsia="MS Mincho"/>
        </w:rPr>
        <w:t xml:space="preserve">egyetem” gondolata, amelyet doktoranduszaink vezetnének. </w:t>
      </w:r>
      <w:r w:rsidR="007D7CA0">
        <w:t>A 2013-as tavaszi félévben először került megrendezésre a Pesti Bölcsész Akadémia.</w:t>
      </w:r>
    </w:p>
    <w:p w14:paraId="2B24814D" w14:textId="6BE5C596" w:rsidR="00304D46" w:rsidRPr="00304D46" w:rsidRDefault="00304D46" w:rsidP="00F31B6D">
      <w:pPr>
        <w:spacing w:after="120" w:line="360" w:lineRule="auto"/>
        <w:ind w:firstLine="708"/>
        <w:jc w:val="both"/>
        <w:rPr>
          <w:rFonts w:eastAsia="MS Mincho"/>
        </w:rPr>
      </w:pPr>
      <w:r w:rsidRPr="00304D46">
        <w:rPr>
          <w:rFonts w:eastAsia="MS Mincho"/>
        </w:rPr>
        <w:t>Az – elsősorban a karon kívülről – érkező hallgatóság számára a tananyag főként a Nemzeti Alaptantervből indul ki, ám nagy hangsúlyt fektet az előadó doktoranduszok kreativitására is, akik kiemel</w:t>
      </w:r>
      <w:r w:rsidR="00B12DE1">
        <w:rPr>
          <w:rFonts w:eastAsia="MS Mincho"/>
        </w:rPr>
        <w:t>i</w:t>
      </w:r>
      <w:bookmarkStart w:id="0" w:name="_GoBack"/>
      <w:bookmarkEnd w:id="0"/>
      <w:r w:rsidRPr="00304D46">
        <w:rPr>
          <w:rFonts w:eastAsia="MS Mincho"/>
        </w:rPr>
        <w:t>k az „érdekeset”, a „különlegeset” az iskolai kötelezők sűrűjéből akár saját kutatási eredményeikkel megfűszerezve azt. Ennek során lehetőség nyíl</w:t>
      </w:r>
      <w:r w:rsidR="007D7CA0">
        <w:t>ik</w:t>
      </w:r>
      <w:r w:rsidRPr="00304D46">
        <w:rPr>
          <w:rFonts w:eastAsia="MS Mincho"/>
        </w:rPr>
        <w:t xml:space="preserve"> megmutatni, „miként és hogyan lehet olvasni” bizonyos alapműveket, </w:t>
      </w:r>
      <w:r w:rsidR="007D7CA0">
        <w:t>mik az általános történelemismeret hézagjai, hogyan és miként része mindennapjainknak a nyelv és a vele kapcsolatos problémák</w:t>
      </w:r>
      <w:r w:rsidR="00436BF1">
        <w:t>, valamint:</w:t>
      </w:r>
      <w:r w:rsidR="007D7CA0">
        <w:t xml:space="preserve"> miként tekinthetünk a 21. században művészetre, miként közelíthetjük meg a hétköznapok eseményeit a filozófia spektrumán keresztül. Szeretnénk f</w:t>
      </w:r>
      <w:r w:rsidRPr="00304D46">
        <w:rPr>
          <w:rFonts w:eastAsia="MS Mincho"/>
        </w:rPr>
        <w:t>elhívni a figyelmet olyan összefüggésekre, jelenségekre, amelyekre az iskolai oktatás keretei között nincs mód</w:t>
      </w:r>
      <w:r w:rsidR="00436BF1">
        <w:t>, olyan plusz</w:t>
      </w:r>
      <w:r w:rsidR="007D7CA0">
        <w:t>tudást adni, amely nem kizárólag „plusz” tudás, hanem segít elmélyíteni meglévő ismereteinket a kultúra és a gondolkodás minden, olykor láthatatlan működésé</w:t>
      </w:r>
      <w:r w:rsidR="00436BF1">
        <w:t>ről</w:t>
      </w:r>
      <w:r w:rsidR="007D7CA0">
        <w:t xml:space="preserve">. </w:t>
      </w:r>
      <w:r w:rsidRPr="00304D46">
        <w:rPr>
          <w:rFonts w:eastAsia="MS Mincho"/>
        </w:rPr>
        <w:t>Mindez nem pusztán lehetőség, de kultúrmisszió a fiatal bölcsészkutatók számára, mellyel ismét bizonyít</w:t>
      </w:r>
      <w:r w:rsidR="00436BF1">
        <w:t>ani kívánjuk</w:t>
      </w:r>
      <w:r w:rsidRPr="00304D46">
        <w:rPr>
          <w:rFonts w:eastAsia="MS Mincho"/>
        </w:rPr>
        <w:t xml:space="preserve"> a bölcsészettudományok társadalmi hasznát. Az oktatás nyitott, „népiskolai” jellegű, a célközönség más egyetemek és karok (főként nem bölcsész) hallgatói, a középiskolák diákjai és tanárai</w:t>
      </w:r>
      <w:r w:rsidR="007D7CA0">
        <w:t>,</w:t>
      </w:r>
      <w:r w:rsidRPr="00304D46">
        <w:rPr>
          <w:rFonts w:eastAsia="MS Mincho"/>
        </w:rPr>
        <w:t xml:space="preserve"> érdeklődő belvárosi nyugdíjasok</w:t>
      </w:r>
      <w:r w:rsidR="007D7CA0">
        <w:t xml:space="preserve"> és általában is: Magyarország művelődni vágyó közönsége.</w:t>
      </w:r>
    </w:p>
    <w:p w14:paraId="2B24814F" w14:textId="71EE767A" w:rsidR="000C3252" w:rsidRDefault="007D7CA0" w:rsidP="00F31B6D">
      <w:pPr>
        <w:spacing w:after="120" w:line="360" w:lineRule="auto"/>
        <w:ind w:firstLine="708"/>
        <w:jc w:val="both"/>
      </w:pPr>
      <w:r>
        <w:lastRenderedPageBreak/>
        <w:t>A „pilot-félév”</w:t>
      </w:r>
      <w:r w:rsidR="00304D46" w:rsidRPr="00304D46">
        <w:rPr>
          <w:rFonts w:eastAsia="MS Mincho"/>
        </w:rPr>
        <w:t xml:space="preserve"> az Irodalomtudományi Doktori Iskola hallgatói</w:t>
      </w:r>
      <w:r>
        <w:t>nak kurzusaival zajlott le</w:t>
      </w:r>
      <w:r w:rsidR="00304D46" w:rsidRPr="00304D46">
        <w:rPr>
          <w:rFonts w:eastAsia="MS Mincho"/>
        </w:rPr>
        <w:t>, az irodalomtudományi oktatásra koncentrálva a képzést</w:t>
      </w:r>
      <w:r w:rsidR="0068204D">
        <w:rPr>
          <w:rFonts w:eastAsia="MS Mincho"/>
        </w:rPr>
        <w:t>, 2013 tavaszán</w:t>
      </w:r>
      <w:r w:rsidR="00304D46" w:rsidRPr="00304D46">
        <w:rPr>
          <w:rFonts w:eastAsia="MS Mincho"/>
        </w:rPr>
        <w:t xml:space="preserve">. </w:t>
      </w:r>
      <w:r w:rsidR="0068204D">
        <w:t>Azóta</w:t>
      </w:r>
      <w:r w:rsidR="000C3252">
        <w:t xml:space="preserve"> Magyarország vezető karának mindegyik Doktori Iskolájá</w:t>
      </w:r>
      <w:r w:rsidR="00436BF1">
        <w:t>nak hallgatójára</w:t>
      </w:r>
      <w:r w:rsidR="000C3252">
        <w:t xml:space="preserve"> (Irodalomtudományi, Filozófiatudományi, Nyelvészettudományi, Történelemtudományi és Művészettörténeti) kiterjesztettü</w:t>
      </w:r>
      <w:r w:rsidR="00436BF1">
        <w:t>k az oktatás lehetőségét</w:t>
      </w:r>
      <w:r w:rsidR="000C3252">
        <w:t>, vagyis a Pesti Bölcsész Akadémia teljes tudományos képzésünk krémjét nyújtja</w:t>
      </w:r>
      <w:r w:rsidR="00436BF1">
        <w:t>;</w:t>
      </w:r>
      <w:r w:rsidR="000C3252">
        <w:t xml:space="preserve"> legtehetségesebb fiatal kutatóink adják elő – földi nyelven</w:t>
      </w:r>
      <w:r w:rsidR="00436BF1">
        <w:t>, leszállva a tudomány elefántcsonttornyából</w:t>
      </w:r>
      <w:r w:rsidR="000C3252">
        <w:t xml:space="preserve"> – tudásuk legjavát, négyszer másfél órás előadásokból építkező kurzusok alkalmával. Az Akadémia szervezőinek a </w:t>
      </w:r>
      <w:r w:rsidR="00304D46" w:rsidRPr="00304D46">
        <w:rPr>
          <w:rFonts w:eastAsia="MS Mincho"/>
        </w:rPr>
        <w:t>Doktori Iskolák</w:t>
      </w:r>
      <w:r w:rsidR="000C3252">
        <w:t xml:space="preserve"> vezetői segítenek </w:t>
      </w:r>
      <w:r w:rsidR="00304D46" w:rsidRPr="00304D46">
        <w:rPr>
          <w:rFonts w:eastAsia="MS Mincho"/>
        </w:rPr>
        <w:t>az oktatás</w:t>
      </w:r>
      <w:r w:rsidR="000C3252">
        <w:t>i feladatra beadott pályázatok elbírálásában, végül a teljes programra a Bölcsészettudományi Kar Doktori Tanácsa nyomja rá a pecsétet, így az előadások a legmagasabb minőségbiztosítás mellett működnek.</w:t>
      </w:r>
    </w:p>
    <w:p w14:paraId="2B248150" w14:textId="25A5F78B" w:rsidR="000C3252" w:rsidRDefault="000C3252" w:rsidP="00F31B6D">
      <w:pPr>
        <w:spacing w:after="120" w:line="360" w:lineRule="auto"/>
        <w:ind w:firstLine="708"/>
        <w:jc w:val="both"/>
      </w:pPr>
      <w:r>
        <w:t xml:space="preserve">A Pesti Bölcsész Akadémia fő helyszíne jelenleg a Trefort-kerti kampusz Ifjúsági épületének tetején található Doktori Kiválósági Központ, ahol </w:t>
      </w:r>
      <w:r w:rsidR="00F31B6D">
        <w:t xml:space="preserve">a technikai infrastruktúra maximális kihasználása mellett (kurzusainkat gyakran kísérjük </w:t>
      </w:r>
      <w:r w:rsidR="00436BF1">
        <w:t xml:space="preserve">képek, versek, </w:t>
      </w:r>
      <w:r w:rsidR="00F31B6D">
        <w:t>filmek projektoros bemutatásával</w:t>
      </w:r>
      <w:r w:rsidR="00436BF1">
        <w:t xml:space="preserve"> és zenével</w:t>
      </w:r>
      <w:r w:rsidR="00F31B6D">
        <w:t xml:space="preserve">) mutatjuk be a bölcsészettudomány végtelen gazdagságát. Az előadások becsületkasszával látogathatóak. </w:t>
      </w:r>
      <w:r w:rsidR="0068204D">
        <w:t>Rendszeresen sor</w:t>
      </w:r>
      <w:r w:rsidR="00F31B6D">
        <w:t xml:space="preserve"> kerül legnépszerűbb kurzusaink </w:t>
      </w:r>
      <w:r w:rsidR="00436BF1">
        <w:t xml:space="preserve">egy-egy előadásának </w:t>
      </w:r>
      <w:r w:rsidR="00F31B6D">
        <w:t>kihelyezésére is. Ezekre az előadásokra középiskolákban és alkotóműhelyekben, szórakoztató és kulturális közösségi terekben kerül sor.</w:t>
      </w:r>
    </w:p>
    <w:p w14:paraId="2B248151" w14:textId="77777777" w:rsidR="00304D46" w:rsidRDefault="00304D46" w:rsidP="000C3252"/>
    <w:sectPr w:rsidR="00304D46" w:rsidSect="00C456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25ED6" w14:textId="77777777" w:rsidR="006E2EDC" w:rsidRDefault="006E2EDC" w:rsidP="006E2EDC">
      <w:pPr>
        <w:spacing w:after="0" w:line="240" w:lineRule="auto"/>
      </w:pPr>
      <w:r>
        <w:separator/>
      </w:r>
    </w:p>
  </w:endnote>
  <w:endnote w:type="continuationSeparator" w:id="0">
    <w:p w14:paraId="672AD081" w14:textId="77777777" w:rsidR="006E2EDC" w:rsidRDefault="006E2EDC" w:rsidP="006E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79E31" w14:textId="77777777" w:rsidR="006E2EDC" w:rsidRDefault="006E2EDC" w:rsidP="006E2EDC">
      <w:pPr>
        <w:spacing w:after="0" w:line="240" w:lineRule="auto"/>
      </w:pPr>
      <w:r>
        <w:separator/>
      </w:r>
    </w:p>
  </w:footnote>
  <w:footnote w:type="continuationSeparator" w:id="0">
    <w:p w14:paraId="71B588F4" w14:textId="77777777" w:rsidR="006E2EDC" w:rsidRDefault="006E2EDC" w:rsidP="006E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C080B" w14:textId="77777777" w:rsidR="006E2EDC" w:rsidRDefault="006E2EDC" w:rsidP="006E2EDC">
    <w:pPr>
      <w:pStyle w:val="lfej"/>
      <w:pBdr>
        <w:bottom w:val="single" w:sz="6" w:space="1" w:color="auto"/>
      </w:pBdr>
      <w:rPr>
        <w:b/>
        <w:smallCaps/>
      </w:rPr>
    </w:pPr>
    <w:r>
      <w:rPr>
        <w:i/>
        <w:smallCaps/>
        <w:noProof/>
        <w:lang w:eastAsia="hu-HU"/>
      </w:rPr>
      <w:drawing>
        <wp:anchor distT="0" distB="0" distL="114300" distR="114300" simplePos="0" relativeHeight="251659264" behindDoc="0" locked="0" layoutInCell="1" allowOverlap="1" wp14:anchorId="5436F87A" wp14:editId="517791EE">
          <wp:simplePos x="0" y="0"/>
          <wp:positionH relativeFrom="margin">
            <wp:posOffset>-312744</wp:posOffset>
          </wp:positionH>
          <wp:positionV relativeFrom="margin">
            <wp:posOffset>-923796</wp:posOffset>
          </wp:positionV>
          <wp:extent cx="1371600" cy="1371600"/>
          <wp:effectExtent l="0" t="0" r="0" b="0"/>
          <wp:wrapTopAndBottom/>
          <wp:docPr id="1" name="Kép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mallCaps/>
      </w:rPr>
      <w:tab/>
    </w:r>
    <w:r w:rsidRPr="006E2EDC">
      <w:rPr>
        <w:b/>
        <w:smallCaps/>
        <w:sz w:val="28"/>
      </w:rPr>
      <w:t>Pesti Bölcsész Akadémia</w:t>
    </w:r>
    <w:r>
      <w:rPr>
        <w:b/>
        <w:smallCaps/>
      </w:rPr>
      <w:tab/>
    </w:r>
  </w:p>
  <w:p w14:paraId="1AED6FDB" w14:textId="77777777" w:rsidR="006E2EDC" w:rsidRDefault="006E2EDC" w:rsidP="006E2EDC">
    <w:pPr>
      <w:pStyle w:val="lfej"/>
      <w:pBdr>
        <w:bottom w:val="single" w:sz="6" w:space="1" w:color="auto"/>
      </w:pBdr>
      <w:rPr>
        <w:i/>
        <w:smallCaps/>
      </w:rPr>
    </w:pPr>
    <w:r>
      <w:rPr>
        <w:i/>
        <w:smallCaps/>
      </w:rPr>
      <w:tab/>
    </w:r>
    <w:r>
      <w:rPr>
        <w:i/>
        <w:smallCaps/>
      </w:rPr>
      <w:tab/>
    </w:r>
  </w:p>
  <w:p w14:paraId="21E8E094" w14:textId="4F9B14FB" w:rsidR="006E2EDC" w:rsidRPr="00E77A01" w:rsidRDefault="006E2EDC" w:rsidP="006E2EDC">
    <w:pPr>
      <w:pStyle w:val="lfej"/>
      <w:pBdr>
        <w:bottom w:val="single" w:sz="6" w:space="1" w:color="auto"/>
      </w:pBdr>
      <w:rPr>
        <w:i/>
        <w:smallCaps/>
      </w:rPr>
    </w:pPr>
    <w:r>
      <w:rPr>
        <w:i/>
        <w:smallCaps/>
      </w:rPr>
      <w:tab/>
    </w:r>
    <w:r>
      <w:rPr>
        <w:i/>
        <w:smallCaps/>
      </w:rPr>
      <w:tab/>
    </w:r>
  </w:p>
  <w:p w14:paraId="7DFC5432" w14:textId="77777777" w:rsidR="006E2EDC" w:rsidRDefault="006E2EDC" w:rsidP="006E2EDC">
    <w:pPr>
      <w:pStyle w:val="lfej"/>
      <w:pBdr>
        <w:bottom w:val="single" w:sz="6" w:space="1" w:color="auto"/>
      </w:pBdr>
    </w:pPr>
  </w:p>
  <w:p w14:paraId="2C10E8E1" w14:textId="77777777" w:rsidR="006E2EDC" w:rsidRDefault="006E2ED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4D46"/>
    <w:rsid w:val="000C3252"/>
    <w:rsid w:val="00304D46"/>
    <w:rsid w:val="003F47C7"/>
    <w:rsid w:val="00436BF1"/>
    <w:rsid w:val="004D675C"/>
    <w:rsid w:val="005F4E7D"/>
    <w:rsid w:val="0068204D"/>
    <w:rsid w:val="006E2EDC"/>
    <w:rsid w:val="00793B86"/>
    <w:rsid w:val="007D7CA0"/>
    <w:rsid w:val="00A43072"/>
    <w:rsid w:val="00AD5942"/>
    <w:rsid w:val="00B12DE1"/>
    <w:rsid w:val="00C4569C"/>
    <w:rsid w:val="00E03D1A"/>
    <w:rsid w:val="00F31B6D"/>
    <w:rsid w:val="00F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8147"/>
  <w15:docId w15:val="{9FA9F177-0660-4150-AF6E-54D248E3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hu-H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56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2EDC"/>
  </w:style>
  <w:style w:type="paragraph" w:styleId="llb">
    <w:name w:val="footer"/>
    <w:basedOn w:val="Norml"/>
    <w:link w:val="llbChar"/>
    <w:uiPriority w:val="99"/>
    <w:unhideWhenUsed/>
    <w:rsid w:val="006E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Bársony Márton</cp:lastModifiedBy>
  <cp:revision>4</cp:revision>
  <dcterms:created xsi:type="dcterms:W3CDTF">2014-10-26T12:15:00Z</dcterms:created>
  <dcterms:modified xsi:type="dcterms:W3CDTF">2015-01-05T14:20:00Z</dcterms:modified>
</cp:coreProperties>
</file>